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  <w:bookmarkStart w:id="0" w:name="_GoBack"/>
      <w:bookmarkEnd w:id="0"/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1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1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127522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(основная тема)   </w:t>
            </w:r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  <w:p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аслуга» (дополнительная тема)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14</w:t>
            </w:r>
          </w:p>
          <w:p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2"/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</w:t>
            </w:r>
            <w:r w:rsidR="00B65E6C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4F0773" w:rsidRPr="00A056EB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3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3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  –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:rsidTr="00D641E7">
        <w:tc>
          <w:tcPr>
            <w:tcW w:w="9956" w:type="dxa"/>
          </w:tcPr>
          <w:p w:rsidR="00A056EB" w:rsidRPr="00A42E95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– 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33</w:t>
            </w:r>
          </w:p>
          <w:p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(основная тема)</w:t>
      </w:r>
    </w:p>
    <w:p w:rsidR="004F0773" w:rsidRPr="004F0773" w:rsidRDefault="004F0773" w:rsidP="003F2A15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1. Тема ЕДИ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2. 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3. 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4. 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 are Social,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5. 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то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6. 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>Слайд 7.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медийного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Слайд 8. 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Вашингтоне, Лондоне, штаб-квартирах НАТО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9. Англосаксы – владельцы Гугл, Фейсбук, Твиттер, Вотсап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10. Цитата Ж.Борреля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11. Что такое фейк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Дипфейки.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клеили голову одноклассницы? Такие дипфейки сейчас стали делать массово с помощью современных технологий.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1618" w:rsidRPr="004F0773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12. Главная задача «фейкоделов»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Главная задача создателей фейка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 (видеофайл). 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украинская «инфоБуча»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14. 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объясните опасность передачи геоданных.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15. 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16. 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омните: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«фейкоделов».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17. 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Слайд 18.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Слайд 19.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>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20. 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Слайд 21.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  <w:lastRenderedPageBreak/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F2A15" w:rsidRPr="004F0773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Слайд 22: Отличия фейка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Слайд 23: 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«репостнул»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Слайд 24. 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lastRenderedPageBreak/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25. 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26. 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27.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 28. 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F0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:rsidR="00127522" w:rsidRPr="00127522" w:rsidRDefault="00127522" w:rsidP="003F2A15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127522" w:rsidRPr="00127522" w:rsidRDefault="00127522" w:rsidP="003F2A15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«Е-Паслуга»,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 xml:space="preserve">авайте пересмотрим сам перечень процедур: все ли они нужны или там есть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lastRenderedPageBreak/>
        <w:t>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авторизационные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«Е-Паслуга»,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«Е-Паслуга»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«Е-Паслуге».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«Е-Паслуга»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«Е-Паслуга».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lastRenderedPageBreak/>
        <w:t>Видеоролики НЦЭУ о мобильном приложении «Е-Паслуга»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(хронометраж 00:39 мин.)</w:t>
      </w:r>
    </w:p>
    <w:p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056EB" w:rsidRDefault="00A056EB" w:rsidP="00A9288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4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4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</w:t>
      </w: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lastRenderedPageBreak/>
        <w:t xml:space="preserve">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tio»,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Анализ достигнутых результатов по выявлению преступлений с элементами коррупции показывает, что наиболее подверженными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lastRenderedPageBreak/>
        <w:t>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:rsidR="008A2602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Достигшие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7"/>
      <w:bookmarkEnd w:id="5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8"/>
      <w:bookmarkEnd w:id="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9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10"/>
      <w:bookmarkEnd w:id="8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9" w:name="a15"/>
      <w:bookmarkEnd w:id="9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10" w:name="a16"/>
      <w:bookmarkEnd w:id="10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7"/>
      <w:bookmarkEnd w:id="11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8"/>
      <w:bookmarkEnd w:id="12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3" w:name="a19"/>
      <w:bookmarkEnd w:id="13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4" w:name="a20"/>
      <w:bookmarkEnd w:id="14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1"/>
      <w:bookmarkEnd w:id="1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2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3"/>
      <w:bookmarkEnd w:id="17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8" w:name="a14"/>
      <w:bookmarkEnd w:id="18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D641E7" w:rsidRPr="009B67E0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D641E7" w:rsidRPr="00D641E7" w:rsidRDefault="00D641E7" w:rsidP="009B67E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агрогородке Барколабово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30 июля в деревне Липовка Костюковичского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предтопочного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Болотистую местность вдоль железной дороги начали прочесывать пешком. Звали женщин в громкоговоритель, включали сирену на спецтранпорте.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Толочинском районе женщина скончалась после укусов ос. Инцидент произошел в июле 2023 года на приусадебном участке семейной пары в Толочинском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bookmarkStart w:id="19" w:name="_Hlk97821530"/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ГРАФИК</w:t>
      </w: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встреч областных информационно-пропагандистских групп </w:t>
      </w:r>
    </w:p>
    <w:p w:rsidR="00A964B0" w:rsidRPr="002C74E7" w:rsidRDefault="00A964B0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A964B0" w:rsidRPr="002C74E7" w:rsidRDefault="00A964B0" w:rsidP="00A964B0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</w:pP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>августе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>*</w:t>
      </w:r>
    </w:p>
    <w:tbl>
      <w:tblPr>
        <w:tblpPr w:leftFromText="180" w:rightFromText="180" w:vertAnchor="text" w:horzAnchor="margin" w:tblpX="-34" w:tblpY="2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267"/>
        <w:gridCol w:w="3832"/>
      </w:tblGrid>
      <w:tr w:rsidR="00A964B0" w:rsidRPr="002C74E7" w:rsidTr="00A964B0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района,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организации,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населенного пункта</w:t>
            </w:r>
          </w:p>
        </w:tc>
      </w:tr>
      <w:tr w:rsidR="00A964B0" w:rsidRPr="002C74E7" w:rsidTr="00A964B0">
        <w:trPr>
          <w:trHeight w:val="28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</w:tr>
      <w:tr w:rsidR="00A964B0" w:rsidRPr="002C74E7" w:rsidTr="000A4293">
        <w:trPr>
          <w:trHeight w:val="83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Исаченко </w:t>
            </w:r>
          </w:p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Анатолий Михайлович, </w:t>
            </w:r>
            <w:r w:rsidRPr="002C74E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2C74E7" w:rsidRDefault="00A964B0" w:rsidP="00A964B0">
            <w:pPr>
              <w:shd w:val="clear" w:color="auto" w:fill="FFFFFF"/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A964B0" w:rsidRPr="002C74E7" w:rsidTr="00A964B0">
        <w:trPr>
          <w:trHeight w:val="3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2C74E7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0A4293">
        <w:trPr>
          <w:trHeight w:val="161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Касаткина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Татьяна Витальевна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Владиславович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здравоохранения «Бобруйская городская больница скорой медицинской помощи В.О.Морзона»</w:t>
            </w:r>
          </w:p>
        </w:tc>
      </w:tr>
      <w:tr w:rsidR="00A964B0" w:rsidRPr="00DB481B" w:rsidTr="00A964B0">
        <w:trPr>
          <w:trHeight w:val="3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0A4293">
        <w:trPr>
          <w:trHeight w:val="171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Щербаченя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Борисович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«Бобруйский завод тракторных деталей и агрегатов»</w:t>
            </w:r>
          </w:p>
        </w:tc>
      </w:tr>
      <w:tr w:rsidR="00A964B0" w:rsidRPr="00DB481B" w:rsidTr="00A964B0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0A4293">
        <w:trPr>
          <w:trHeight w:val="154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Шапневская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Мария Владимировна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Ладутько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Харц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«Дрибинский районный центр социального обслуживания населения»</w:t>
            </w:r>
          </w:p>
        </w:tc>
      </w:tr>
      <w:tr w:rsidR="00A964B0" w:rsidRPr="00DB481B" w:rsidTr="00A964B0">
        <w:trPr>
          <w:trHeight w:val="2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0A4293">
        <w:trPr>
          <w:trHeight w:val="1119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Дудкина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Жанна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Круглянский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«Круглянский Рассвет»</w:t>
            </w:r>
          </w:p>
        </w:tc>
      </w:tr>
      <w:tr w:rsidR="00A964B0" w:rsidRPr="00DB481B" w:rsidTr="00A964B0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A964B0" w:rsidRPr="00DB481B" w:rsidTr="000A4293">
        <w:trPr>
          <w:trHeight w:val="82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Савицкий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Константинович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лесохозяйственное учреждение «Могилевский лесхоз»</w:t>
            </w:r>
          </w:p>
        </w:tc>
      </w:tr>
      <w:tr w:rsidR="000A4293" w:rsidRPr="00DB481B" w:rsidTr="000A4293">
        <w:trPr>
          <w:trHeight w:val="28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0A4293" w:rsidRPr="00DB481B" w:rsidTr="00A964B0">
        <w:trPr>
          <w:trHeight w:val="97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Баргатин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Константинович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унитарное предприятие 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«ММЗ-сервис»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269"/>
        <w:gridCol w:w="3830"/>
      </w:tblGrid>
      <w:tr w:rsidR="00A964B0" w:rsidRPr="00DB481B" w:rsidTr="00A964B0">
        <w:trPr>
          <w:trHeight w:val="28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Петрученя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Михайловна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Федоровна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Чаусский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открытое акционерное общество «Передвижная механизированная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колонна-98 Водстрой»</w:t>
            </w:r>
          </w:p>
        </w:tc>
      </w:tr>
      <w:tr w:rsidR="00A964B0" w:rsidRPr="00DB481B" w:rsidTr="00A964B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0A4293">
        <w:trPr>
          <w:trHeight w:val="173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Тепляков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 Ильич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Бубенцов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Цисельская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Славгородский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производственно-торговое унитарное предприятие «Красный пищевик-Славгород»</w:t>
            </w:r>
          </w:p>
        </w:tc>
      </w:tr>
      <w:tr w:rsidR="00A964B0" w:rsidRPr="00DB481B" w:rsidTr="00A964B0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A964B0" w:rsidRPr="00DB481B" w:rsidTr="00A964B0">
        <w:trPr>
          <w:trHeight w:val="119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Стельмашок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электротехнический колледж»</w:t>
            </w:r>
          </w:p>
        </w:tc>
      </w:tr>
      <w:tr w:rsidR="00A964B0" w:rsidRPr="00DB481B" w:rsidTr="00A964B0">
        <w:trPr>
          <w:trHeight w:val="23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0A4293">
        <w:trPr>
          <w:trHeight w:val="178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Музыченко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Екатерина Анатольевна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Лаукманис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Татьяна Борисовна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Лазаревич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Святославович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Краснопольский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учреждение здравоохранения «Краснопольская центральная районная больница»</w:t>
            </w:r>
          </w:p>
        </w:tc>
      </w:tr>
      <w:tr w:rsidR="00A964B0" w:rsidRPr="00DB481B" w:rsidTr="00A964B0">
        <w:trPr>
          <w:trHeight w:val="12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0A4293">
        <w:trPr>
          <w:trHeight w:val="120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Дивакова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Григорьевна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Мстиславский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Мстиславское унитарное коммунальное предприятие «Жилкомхоз»</w:t>
            </w:r>
          </w:p>
        </w:tc>
      </w:tr>
      <w:tr w:rsidR="00A964B0" w:rsidRPr="00DB481B" w:rsidTr="00A964B0">
        <w:trPr>
          <w:trHeight w:val="22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0A4293">
        <w:trPr>
          <w:trHeight w:val="119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Мартыновский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Антоновна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«Зенит»</w:t>
            </w:r>
          </w:p>
        </w:tc>
      </w:tr>
      <w:tr w:rsidR="00A964B0" w:rsidRPr="00DB481B" w:rsidTr="00A964B0">
        <w:trPr>
          <w:trHeight w:val="18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0A4293">
        <w:trPr>
          <w:trHeight w:val="184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Демьянков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Геннадьевич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Гайсенок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Чериковский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Чериковский район электрических сетей филиала Климовичские электрические сети</w:t>
            </w:r>
          </w:p>
        </w:tc>
      </w:tr>
      <w:tr w:rsidR="00A964B0" w:rsidRPr="00DB481B" w:rsidTr="00A964B0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A964B0" w:rsidRPr="00DB481B" w:rsidTr="00A964B0">
        <w:trPr>
          <w:trHeight w:val="26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Страхар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Руслан Борисович,</w:t>
            </w:r>
          </w:p>
          <w:p w:rsidR="00A964B0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  <w:p w:rsidR="000A4293" w:rsidRPr="00DB481B" w:rsidRDefault="000A4293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«СОНЦА»</w:t>
            </w:r>
          </w:p>
          <w:p w:rsidR="000A4293" w:rsidRPr="00DB481B" w:rsidRDefault="000A4293" w:rsidP="000A42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27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A964B0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Мякинький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Брежезинский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Кировский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«Добоснянское»</w:t>
            </w:r>
          </w:p>
        </w:tc>
      </w:tr>
      <w:tr w:rsidR="00A964B0" w:rsidRPr="00DB481B" w:rsidTr="00A964B0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1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 Леонидович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Кускова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ордена Трудового Красного Знамени агролесотехнический колледж имени К.П.Орловского»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A964B0">
        <w:trPr>
          <w:trHeight w:val="4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Жигунов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Анатольевич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Белыничский районный исполнительный комитет</w:t>
            </w:r>
          </w:p>
        </w:tc>
      </w:tr>
      <w:tr w:rsidR="00A964B0" w:rsidRPr="00DB481B" w:rsidTr="00A964B0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 ГРУППА</w:t>
            </w:r>
          </w:p>
        </w:tc>
      </w:tr>
      <w:tr w:rsidR="00A964B0" w:rsidRPr="00DB481B" w:rsidTr="00A964B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Денгалёв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Геннадий Иванович,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Климовичское унитарное коммунальное предприятие «Коммунальник»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1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A964B0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Феоктистов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Сергей Михайлович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Бородько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Игорь Васильевич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Шуголеева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коммунального унитарного предприятия по проектированию, ремонту и строительству дорог «Могилевоблдорстрой» – ДРСУ № 170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4B0" w:rsidRPr="00DB481B" w:rsidTr="00A964B0">
        <w:trPr>
          <w:trHeight w:val="29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182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Жигун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Николаевич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Кабетов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Горецкий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учреждения культуры Горецкого района</w:t>
            </w:r>
          </w:p>
        </w:tc>
      </w:tr>
      <w:tr w:rsidR="00A964B0" w:rsidRPr="00DB481B" w:rsidTr="00A964B0">
        <w:trPr>
          <w:trHeight w:val="25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A964B0">
        <w:trPr>
          <w:trHeight w:val="181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Клишо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Игорь Леонтьевич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Черный </w:t>
            </w:r>
          </w:p>
          <w:p w:rsidR="00A964B0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Андрей Васильевич</w:t>
            </w:r>
          </w:p>
          <w:p w:rsidR="000A4293" w:rsidRDefault="000A4293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0A4293" w:rsidRPr="00DB481B" w:rsidRDefault="000A4293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«Газпром трансгаз Беларусь» филиал «Осиповичское управление магистральных газопроводов»</w:t>
            </w:r>
          </w:p>
        </w:tc>
      </w:tr>
      <w:tr w:rsidR="00A964B0" w:rsidRPr="00DB481B" w:rsidTr="00A964B0">
        <w:trPr>
          <w:trHeight w:val="13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A964B0">
        <w:trPr>
          <w:trHeight w:val="126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Балашенко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Кричевский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«Кричевский районный центр социального обслуживания»</w:t>
            </w:r>
          </w:p>
        </w:tc>
      </w:tr>
      <w:tr w:rsidR="00A964B0" w:rsidRPr="00DB481B" w:rsidTr="00A964B0">
        <w:trPr>
          <w:trHeight w:val="16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6 ГРУППА</w:t>
            </w:r>
          </w:p>
        </w:tc>
      </w:tr>
      <w:tr w:rsidR="00A964B0" w:rsidRPr="00DB481B" w:rsidTr="00A964B0">
        <w:trPr>
          <w:trHeight w:val="3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 Леонидович,</w:t>
            </w: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Шкловский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Шкловский районный исполнительный комитет</w:t>
            </w:r>
          </w:p>
        </w:tc>
      </w:tr>
      <w:tr w:rsidR="00A964B0" w:rsidRPr="00DB481B" w:rsidTr="00A964B0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A964B0" w:rsidRPr="00DB481B" w:rsidTr="00A964B0">
        <w:trPr>
          <w:trHeight w:val="104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Анатольевна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Пищенко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Олег Александрович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Лошкевич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Игорь 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Белыничское открытое акционерное общество «Агросервис»</w:t>
            </w:r>
          </w:p>
        </w:tc>
      </w:tr>
      <w:tr w:rsidR="00A964B0" w:rsidRPr="00DB481B" w:rsidTr="00A964B0">
        <w:trPr>
          <w:trHeight w:val="16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A964B0" w:rsidRPr="00DB481B" w:rsidTr="00A964B0">
        <w:trPr>
          <w:trHeight w:val="42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Валентинович</w:t>
            </w:r>
            <w:r w:rsidRPr="00DB481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Неменков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Хотимский </w:t>
            </w: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«Хотимский районный физкультурно- спортивный клуб»</w:t>
            </w:r>
          </w:p>
        </w:tc>
      </w:tr>
      <w:tr w:rsidR="00A964B0" w:rsidRPr="00DB481B" w:rsidTr="00A964B0">
        <w:trPr>
          <w:trHeight w:val="43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A964B0" w:rsidRPr="00DB481B" w:rsidTr="00A964B0">
        <w:trPr>
          <w:trHeight w:val="152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Столяров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Михайлович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Зубринович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Степанович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«Климовичское производственное управление» республиканского унитарного предприятия «Могилевоблгаз»</w:t>
            </w:r>
          </w:p>
        </w:tc>
      </w:tr>
      <w:tr w:rsidR="00A964B0" w:rsidRPr="00DB481B" w:rsidTr="00A964B0">
        <w:trPr>
          <w:trHeight w:val="43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A964B0" w:rsidRPr="00DB481B" w:rsidTr="00A964B0">
        <w:trPr>
          <w:trHeight w:val="119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Заблоцкий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Борисович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Васильевич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</w:t>
            </w:r>
          </w:p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Бобруйский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0" w:rsidRPr="00DB481B" w:rsidRDefault="00A964B0" w:rsidP="00A964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DB481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учреждения образования Бобруйского района</w:t>
            </w:r>
          </w:p>
        </w:tc>
      </w:tr>
      <w:bookmarkEnd w:id="19"/>
    </w:tbl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964B0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57" w:rsidRDefault="00184F57" w:rsidP="007534C3">
      <w:pPr>
        <w:spacing w:after="0" w:line="240" w:lineRule="auto"/>
      </w:pPr>
      <w:r>
        <w:separator/>
      </w:r>
    </w:p>
  </w:endnote>
  <w:endnote w:type="continuationSeparator" w:id="0">
    <w:p w:rsidR="00184F57" w:rsidRDefault="00184F57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57" w:rsidRDefault="00184F57" w:rsidP="007534C3">
      <w:pPr>
        <w:spacing w:after="0" w:line="240" w:lineRule="auto"/>
      </w:pPr>
      <w:r>
        <w:separator/>
      </w:r>
    </w:p>
  </w:footnote>
  <w:footnote w:type="continuationSeparator" w:id="0">
    <w:p w:rsidR="00184F57" w:rsidRDefault="00184F57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9C6B28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964B0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B148C8">
          <w:rPr>
            <w:rFonts w:ascii="Times New Roman" w:hAnsi="Times New Roman" w:cs="Times New Roman"/>
            <w:noProof/>
          </w:rPr>
          <w:t>3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184F57"/>
    <w:rsid w:val="002A00E8"/>
    <w:rsid w:val="002A0C68"/>
    <w:rsid w:val="002F3AD8"/>
    <w:rsid w:val="00301D2C"/>
    <w:rsid w:val="003F2A15"/>
    <w:rsid w:val="004352BC"/>
    <w:rsid w:val="00474984"/>
    <w:rsid w:val="004A0732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7534C3"/>
    <w:rsid w:val="008A2602"/>
    <w:rsid w:val="00917903"/>
    <w:rsid w:val="00957282"/>
    <w:rsid w:val="009573EA"/>
    <w:rsid w:val="00962A9B"/>
    <w:rsid w:val="009B67E0"/>
    <w:rsid w:val="009C51CE"/>
    <w:rsid w:val="009C6B28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148C8"/>
    <w:rsid w:val="00B65E6C"/>
    <w:rsid w:val="00B66058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718EE"/>
    <w:rsid w:val="00F96799"/>
    <w:rsid w:val="00FA73D0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User\Documents\tx.dll%3fd=33380&amp;a=6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12535</Words>
  <Characters>71453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Бокий Павел Валерьевич</cp:lastModifiedBy>
  <cp:revision>2</cp:revision>
  <cp:lastPrinted>2024-08-13T05:11:00Z</cp:lastPrinted>
  <dcterms:created xsi:type="dcterms:W3CDTF">2024-08-13T05:35:00Z</dcterms:created>
  <dcterms:modified xsi:type="dcterms:W3CDTF">2024-08-13T05:35:00Z</dcterms:modified>
</cp:coreProperties>
</file>